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0"/>
        <w:gridCol w:w="1707"/>
        <w:gridCol w:w="2487"/>
        <w:gridCol w:w="2681"/>
        <w:gridCol w:w="845"/>
        <w:gridCol w:w="1020"/>
        <w:gridCol w:w="2254"/>
        <w:gridCol w:w="761"/>
        <w:gridCol w:w="3478"/>
      </w:tblGrid>
      <w:tr>
        <w:trPr>
          <w:trHeight w:val="417" w:hRule="atLeast"/>
        </w:trPr>
        <w:tc>
          <w:tcPr>
            <w:tcW w:w="1390" w:type="dxa"/>
            <w:shd w:val="clear" w:color="auto" w:fill="FFE699"/>
          </w:tcPr>
          <w:p>
            <w:pPr>
              <w:pStyle w:val="TableParagraph"/>
              <w:spacing w:line="171" w:lineRule="exact"/>
              <w:ind w:left="160"/>
              <w:rPr>
                <w:b/>
                <w:sz w:val="15"/>
              </w:rPr>
            </w:pPr>
            <w:r>
              <w:rPr>
                <w:b/>
                <w:sz w:val="15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19744">
                      <wp:simplePos x="0" y="0"/>
                      <wp:positionH relativeFrom="column">
                        <wp:posOffset>6095</wp:posOffset>
                      </wp:positionH>
                      <wp:positionV relativeFrom="paragraph">
                        <wp:posOffset>-1206</wp:posOffset>
                      </wp:positionV>
                      <wp:extent cx="10549255" cy="269875"/>
                      <wp:effectExtent l="0" t="0" r="0" b="0"/>
                      <wp:wrapNone/>
                      <wp:docPr id="1" name="Group 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" name="Group 1"/>
                            <wpg:cNvGrpSpPr/>
                            <wpg:grpSpPr>
                              <a:xfrm>
                                <a:off x="0" y="0"/>
                                <a:ext cx="10549255" cy="269875"/>
                                <a:chExt cx="10549255" cy="269875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0" y="0"/>
                                  <a:ext cx="10549255" cy="269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549255" h="269875">
                                      <a:moveTo>
                                        <a:pt x="10549127" y="269747"/>
                                      </a:moveTo>
                                      <a:lnTo>
                                        <a:pt x="0" y="26974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0549127" y="0"/>
                                      </a:lnTo>
                                      <a:lnTo>
                                        <a:pt x="10549127" y="26974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E6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48pt;margin-top:-.095015pt;width:830.65pt;height:21.25pt;mso-position-horizontal-relative:column;mso-position-vertical-relative:paragraph;z-index:-15796736" id="docshapegroup1" coordorigin="10,-2" coordsize="16613,425">
                      <v:rect style="position:absolute;left:9;top:-2;width:16613;height:425" id="docshape2" filled="true" fillcolor="#ffe699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15"/>
              </w:rPr>
              <w:t>Administración</w:t>
            </w:r>
          </w:p>
        </w:tc>
        <w:tc>
          <w:tcPr>
            <w:tcW w:w="1707" w:type="dxa"/>
            <w:shd w:val="clear" w:color="auto" w:fill="FFE699"/>
          </w:tcPr>
          <w:p>
            <w:pPr>
              <w:pStyle w:val="TableParagraph"/>
              <w:spacing w:line="171" w:lineRule="exact"/>
              <w:ind w:left="357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Departamento</w:t>
            </w:r>
          </w:p>
        </w:tc>
        <w:tc>
          <w:tcPr>
            <w:tcW w:w="2487" w:type="dxa"/>
            <w:shd w:val="clear" w:color="auto" w:fill="FFE699"/>
          </w:tcPr>
          <w:p>
            <w:pPr>
              <w:pStyle w:val="TableParagraph"/>
              <w:spacing w:line="171" w:lineRule="exact"/>
              <w:ind w:left="15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Órgano</w:t>
            </w:r>
          </w:p>
        </w:tc>
        <w:tc>
          <w:tcPr>
            <w:tcW w:w="2681" w:type="dxa"/>
            <w:shd w:val="clear" w:color="auto" w:fill="FFE699"/>
          </w:tcPr>
          <w:p>
            <w:pPr>
              <w:pStyle w:val="TableParagraph"/>
              <w:spacing w:line="171" w:lineRule="exact"/>
              <w:ind w:left="86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Convocatoria</w:t>
            </w:r>
          </w:p>
        </w:tc>
        <w:tc>
          <w:tcPr>
            <w:tcW w:w="845" w:type="dxa"/>
            <w:shd w:val="clear" w:color="auto" w:fill="FFE699"/>
          </w:tcPr>
          <w:p>
            <w:pPr>
              <w:pStyle w:val="TableParagraph"/>
              <w:spacing w:line="264" w:lineRule="auto"/>
              <w:ind w:left="57" w:right="29" w:firstLine="44"/>
              <w:rPr>
                <w:b/>
                <w:sz w:val="15"/>
              </w:rPr>
            </w:pPr>
            <w:r>
              <w:rPr>
                <w:b/>
                <w:sz w:val="15"/>
              </w:rPr>
              <w:t>Fecha</w:t>
            </w:r>
            <w:r>
              <w:rPr>
                <w:b/>
                <w:spacing w:val="-5"/>
                <w:sz w:val="15"/>
              </w:rPr>
              <w:t> </w:t>
            </w:r>
            <w:r>
              <w:rPr>
                <w:b/>
                <w:sz w:val="15"/>
              </w:rPr>
              <w:t>de </w:t>
            </w:r>
            <w:r>
              <w:rPr>
                <w:b/>
                <w:spacing w:val="-2"/>
                <w:sz w:val="15"/>
              </w:rPr>
              <w:t>concesión</w:t>
            </w:r>
          </w:p>
        </w:tc>
        <w:tc>
          <w:tcPr>
            <w:tcW w:w="1020" w:type="dxa"/>
            <w:shd w:val="clear" w:color="auto" w:fill="FFE699"/>
          </w:tcPr>
          <w:p>
            <w:pPr>
              <w:pStyle w:val="TableParagraph"/>
              <w:spacing w:line="264" w:lineRule="auto"/>
              <w:ind w:left="235" w:right="168" w:hanging="4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Fecha</w:t>
            </w:r>
            <w:r>
              <w:rPr>
                <w:b/>
                <w:spacing w:val="-9"/>
                <w:sz w:val="15"/>
              </w:rPr>
              <w:t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z w:val="15"/>
              </w:rPr>
              <w:t> </w:t>
            </w:r>
            <w:r>
              <w:rPr>
                <w:b/>
                <w:spacing w:val="-2"/>
                <w:sz w:val="15"/>
              </w:rPr>
              <w:t>registro</w:t>
            </w:r>
          </w:p>
        </w:tc>
        <w:tc>
          <w:tcPr>
            <w:tcW w:w="2254" w:type="dxa"/>
            <w:shd w:val="clear" w:color="auto" w:fill="FFE699"/>
          </w:tcPr>
          <w:p>
            <w:pPr>
              <w:pStyle w:val="TableParagraph"/>
              <w:spacing w:line="171" w:lineRule="exact"/>
              <w:ind w:left="703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Beneficiario</w:t>
            </w:r>
          </w:p>
        </w:tc>
        <w:tc>
          <w:tcPr>
            <w:tcW w:w="761" w:type="dxa"/>
            <w:shd w:val="clear" w:color="auto" w:fill="FFE699"/>
          </w:tcPr>
          <w:p>
            <w:pPr>
              <w:pStyle w:val="TableParagraph"/>
              <w:spacing w:line="171" w:lineRule="exact"/>
              <w:ind w:left="48" w:right="32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Importe</w:t>
            </w:r>
          </w:p>
        </w:tc>
        <w:tc>
          <w:tcPr>
            <w:tcW w:w="3478" w:type="dxa"/>
            <w:shd w:val="clear" w:color="auto" w:fill="FFE699"/>
          </w:tcPr>
          <w:p>
            <w:pPr>
              <w:pStyle w:val="TableParagraph"/>
              <w:spacing w:line="171" w:lineRule="exact"/>
              <w:ind w:left="17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Objetivos</w:t>
            </w:r>
          </w:p>
        </w:tc>
      </w:tr>
      <w:tr>
        <w:trPr>
          <w:trHeight w:val="1480" w:hRule="atLeast"/>
        </w:trPr>
        <w:tc>
          <w:tcPr>
            <w:tcW w:w="1390" w:type="dxa"/>
            <w:shd w:val="clear" w:color="auto" w:fill="CCFFCC"/>
          </w:tcPr>
          <w:p>
            <w:pPr>
              <w:pStyle w:val="TableParagraph"/>
              <w:spacing w:line="167" w:lineRule="exact"/>
              <w:ind w:left="30"/>
              <w:rPr>
                <w:sz w:val="15"/>
              </w:rPr>
            </w:pPr>
            <w:r>
              <w:rPr>
                <w:spacing w:val="-2"/>
                <w:sz w:val="15"/>
              </w:rPr>
              <w:t>AUTONOMICA</w:t>
            </w:r>
          </w:p>
        </w:tc>
        <w:tc>
          <w:tcPr>
            <w:tcW w:w="1707" w:type="dxa"/>
            <w:shd w:val="clear" w:color="auto" w:fill="CCFFCC"/>
          </w:tcPr>
          <w:p>
            <w:pPr>
              <w:pStyle w:val="TableParagraph"/>
              <w:spacing w:line="167" w:lineRule="exact"/>
              <w:ind w:left="30"/>
              <w:rPr>
                <w:sz w:val="15"/>
              </w:rPr>
            </w:pPr>
            <w:r>
              <w:rPr>
                <w:spacing w:val="-2"/>
                <w:sz w:val="15"/>
              </w:rPr>
              <w:t>CANARIAS</w:t>
            </w:r>
          </w:p>
        </w:tc>
        <w:tc>
          <w:tcPr>
            <w:tcW w:w="2487" w:type="dxa"/>
            <w:shd w:val="clear" w:color="auto" w:fill="CCFFCC"/>
          </w:tcPr>
          <w:p>
            <w:pPr>
              <w:pStyle w:val="TableParagraph"/>
              <w:spacing w:line="254" w:lineRule="auto"/>
              <w:ind w:hanging="1"/>
              <w:rPr>
                <w:sz w:val="15"/>
              </w:rPr>
            </w:pPr>
            <w:r>
              <w:rPr>
                <w:sz w:val="15"/>
              </w:rPr>
              <w:t>CONSEJERÍA DE EDUCACIÓN, FORMACIÓN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PROFESIONAL, </w:t>
            </w:r>
            <w:r>
              <w:rPr>
                <w:spacing w:val="-2"/>
                <w:sz w:val="15"/>
              </w:rPr>
              <w:t>ACTIVIDAD</w:t>
            </w:r>
            <w:r>
              <w:rPr>
                <w:spacing w:val="-4"/>
                <w:sz w:val="15"/>
              </w:rPr>
              <w:t> </w:t>
            </w:r>
            <w:r>
              <w:rPr>
                <w:spacing w:val="-2"/>
                <w:sz w:val="15"/>
              </w:rPr>
              <w:t>FÍSICA</w:t>
            </w:r>
            <w:r>
              <w:rPr>
                <w:spacing w:val="-6"/>
                <w:sz w:val="15"/>
              </w:rPr>
              <w:t> </w:t>
            </w:r>
            <w:r>
              <w:rPr>
                <w:spacing w:val="-2"/>
                <w:sz w:val="15"/>
              </w:rPr>
              <w:t>Y</w:t>
            </w:r>
            <w:r>
              <w:rPr>
                <w:spacing w:val="-8"/>
                <w:sz w:val="15"/>
              </w:rPr>
              <w:t> </w:t>
            </w:r>
            <w:r>
              <w:rPr>
                <w:spacing w:val="-2"/>
                <w:sz w:val="15"/>
              </w:rPr>
              <w:t>DEPORTES</w:t>
            </w:r>
          </w:p>
        </w:tc>
        <w:tc>
          <w:tcPr>
            <w:tcW w:w="2681" w:type="dxa"/>
            <w:shd w:val="clear" w:color="auto" w:fill="CCFFCC"/>
          </w:tcPr>
          <w:p>
            <w:pPr>
              <w:pStyle w:val="TableParagraph"/>
              <w:spacing w:line="254" w:lineRule="auto"/>
              <w:ind w:right="4"/>
              <w:rPr>
                <w:sz w:val="15"/>
              </w:rPr>
            </w:pPr>
            <w:r>
              <w:rPr>
                <w:spacing w:val="-2"/>
                <w:sz w:val="15"/>
              </w:rPr>
              <w:t>Clubes Deportivos Canarios </w:t>
            </w:r>
            <w:r>
              <w:rPr>
                <w:spacing w:val="-2"/>
                <w:sz w:val="15"/>
              </w:rPr>
              <w:t>Nacionales</w:t>
            </w:r>
            <w:r>
              <w:rPr>
                <w:sz w:val="15"/>
              </w:rPr>
              <w:t> y Europeos 2025</w:t>
            </w:r>
          </w:p>
        </w:tc>
        <w:tc>
          <w:tcPr>
            <w:tcW w:w="845" w:type="dxa"/>
            <w:shd w:val="clear" w:color="auto" w:fill="CCFFCC"/>
          </w:tcPr>
          <w:p>
            <w:pPr>
              <w:pStyle w:val="TableParagraph"/>
              <w:spacing w:line="167" w:lineRule="exact"/>
              <w:ind w:left="0" w:right="33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12/06/2025</w:t>
            </w:r>
          </w:p>
        </w:tc>
        <w:tc>
          <w:tcPr>
            <w:tcW w:w="1020" w:type="dxa"/>
            <w:shd w:val="clear" w:color="auto" w:fill="CCFFCC"/>
          </w:tcPr>
          <w:p>
            <w:pPr>
              <w:pStyle w:val="TableParagraph"/>
              <w:spacing w:line="167" w:lineRule="exact"/>
              <w:rPr>
                <w:sz w:val="15"/>
              </w:rPr>
            </w:pPr>
            <w:r>
              <w:rPr>
                <w:spacing w:val="-2"/>
                <w:sz w:val="15"/>
              </w:rPr>
              <w:t>19/06/2025</w:t>
            </w:r>
          </w:p>
        </w:tc>
        <w:tc>
          <w:tcPr>
            <w:tcW w:w="2254" w:type="dxa"/>
            <w:shd w:val="clear" w:color="auto" w:fill="CCFFCC"/>
          </w:tcPr>
          <w:p>
            <w:pPr>
              <w:pStyle w:val="TableParagraph"/>
              <w:spacing w:line="254" w:lineRule="auto"/>
              <w:ind w:left="28" w:hanging="1"/>
              <w:rPr>
                <w:sz w:val="15"/>
              </w:rPr>
            </w:pPr>
            <w:r>
              <w:rPr>
                <w:spacing w:val="-2"/>
                <w:sz w:val="15"/>
              </w:rPr>
              <w:t>G19735919</w:t>
            </w:r>
            <w:r>
              <w:rPr>
                <w:spacing w:val="-9"/>
                <w:sz w:val="15"/>
              </w:rPr>
              <w:t> </w:t>
            </w:r>
            <w:r>
              <w:rPr>
                <w:spacing w:val="-2"/>
                <w:sz w:val="15"/>
              </w:rPr>
              <w:t>CLUB</w:t>
            </w:r>
            <w:r>
              <w:rPr>
                <w:spacing w:val="-8"/>
                <w:sz w:val="15"/>
              </w:rPr>
              <w:t> </w:t>
            </w:r>
            <w:r>
              <w:rPr>
                <w:spacing w:val="-2"/>
                <w:sz w:val="15"/>
              </w:rPr>
              <w:t>VOLEIBOL</w:t>
            </w:r>
            <w:r>
              <w:rPr>
                <w:sz w:val="15"/>
              </w:rPr>
              <w:t> </w:t>
            </w:r>
            <w:r>
              <w:rPr>
                <w:spacing w:val="-2"/>
                <w:sz w:val="15"/>
              </w:rPr>
              <w:t>GUPANE</w:t>
            </w:r>
          </w:p>
        </w:tc>
        <w:tc>
          <w:tcPr>
            <w:tcW w:w="761" w:type="dxa"/>
            <w:shd w:val="clear" w:color="auto" w:fill="CCFFCC"/>
          </w:tcPr>
          <w:p>
            <w:pPr>
              <w:pStyle w:val="TableParagraph"/>
              <w:spacing w:line="167" w:lineRule="exact"/>
              <w:ind w:left="0" w:right="32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30.811,84</w:t>
            </w:r>
          </w:p>
        </w:tc>
        <w:tc>
          <w:tcPr>
            <w:tcW w:w="3478" w:type="dxa"/>
            <w:shd w:val="clear" w:color="auto" w:fill="CCFFCC"/>
          </w:tcPr>
          <w:p>
            <w:pPr>
              <w:pStyle w:val="TableParagraph"/>
              <w:spacing w:line="254" w:lineRule="auto"/>
              <w:ind w:left="28" w:right="19" w:hanging="1"/>
              <w:rPr>
                <w:sz w:val="15"/>
              </w:rPr>
            </w:pPr>
            <w:r>
              <w:rPr>
                <w:sz w:val="15"/>
              </w:rPr>
              <w:t>Financiar los gastos derivados de la participación del equipo sénior masculino en competiciones </w:t>
            </w:r>
            <w:r>
              <w:rPr>
                <w:spacing w:val="-2"/>
                <w:sz w:val="15"/>
              </w:rPr>
              <w:t>oficiales de ámbito nacional, contribuyendo a cubrir</w:t>
            </w:r>
            <w:r>
              <w:rPr>
                <w:sz w:val="15"/>
              </w:rPr>
              <w:t> los costes de desplazamientos, licencias federativas</w:t>
            </w:r>
            <w:r>
              <w:rPr>
                <w:spacing w:val="-9"/>
                <w:sz w:val="15"/>
              </w:rPr>
              <w:t> </w:t>
            </w:r>
            <w:r>
              <w:rPr>
                <w:sz w:val="15"/>
              </w:rPr>
              <w:t>y</w:t>
            </w:r>
            <w:r>
              <w:rPr>
                <w:spacing w:val="-11"/>
                <w:sz w:val="15"/>
              </w:rPr>
              <w:t> </w:t>
            </w:r>
            <w:r>
              <w:rPr>
                <w:sz w:val="15"/>
              </w:rPr>
              <w:t>otros</w:t>
            </w:r>
            <w:r>
              <w:rPr>
                <w:spacing w:val="-8"/>
                <w:sz w:val="15"/>
              </w:rPr>
              <w:t> </w:t>
            </w:r>
            <w:r>
              <w:rPr>
                <w:sz w:val="15"/>
              </w:rPr>
              <w:t>gastos</w:t>
            </w:r>
            <w:r>
              <w:rPr>
                <w:spacing w:val="-8"/>
                <w:sz w:val="15"/>
              </w:rPr>
              <w:t> </w:t>
            </w:r>
            <w:r>
              <w:rPr>
                <w:sz w:val="15"/>
              </w:rPr>
              <w:t>vinculados</w:t>
            </w:r>
            <w:r>
              <w:rPr>
                <w:spacing w:val="-8"/>
                <w:sz w:val="15"/>
              </w:rPr>
              <w:t> </w:t>
            </w:r>
            <w:r>
              <w:rPr>
                <w:sz w:val="15"/>
              </w:rPr>
              <w:t>a</w:t>
            </w:r>
            <w:r>
              <w:rPr>
                <w:spacing w:val="-9"/>
                <w:sz w:val="15"/>
              </w:rPr>
              <w:t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> </w:t>
            </w:r>
            <w:r>
              <w:rPr>
                <w:sz w:val="15"/>
              </w:rPr>
              <w:t>actividad deportiva del club, favoreciendo su continuidad y </w:t>
            </w:r>
            <w:r>
              <w:rPr>
                <w:spacing w:val="-2"/>
                <w:sz w:val="15"/>
              </w:rPr>
              <w:t>competitividad.</w:t>
            </w:r>
          </w:p>
        </w:tc>
      </w:tr>
      <w:tr>
        <w:trPr>
          <w:trHeight w:val="1165" w:hRule="atLeast"/>
        </w:trPr>
        <w:tc>
          <w:tcPr>
            <w:tcW w:w="1390" w:type="dxa"/>
            <w:shd w:val="clear" w:color="auto" w:fill="CCFFCC"/>
          </w:tcPr>
          <w:p>
            <w:pPr>
              <w:pStyle w:val="TableParagraph"/>
              <w:spacing w:line="167" w:lineRule="exact"/>
              <w:ind w:left="30"/>
              <w:rPr>
                <w:sz w:val="15"/>
              </w:rPr>
            </w:pPr>
            <w:r>
              <w:rPr>
                <w:spacing w:val="-2"/>
                <w:sz w:val="15"/>
              </w:rPr>
              <w:t>LOCAL</w:t>
            </w:r>
          </w:p>
        </w:tc>
        <w:tc>
          <w:tcPr>
            <w:tcW w:w="1707" w:type="dxa"/>
            <w:shd w:val="clear" w:color="auto" w:fill="CCFFCC"/>
          </w:tcPr>
          <w:p>
            <w:pPr>
              <w:pStyle w:val="TableParagraph"/>
              <w:spacing w:line="254" w:lineRule="auto"/>
              <w:ind w:left="30"/>
              <w:rPr>
                <w:sz w:val="15"/>
              </w:rPr>
            </w:pPr>
            <w:r>
              <w:rPr>
                <w:spacing w:val="-2"/>
                <w:sz w:val="15"/>
              </w:rPr>
              <w:t>CABILDO</w:t>
            </w:r>
            <w:r>
              <w:rPr>
                <w:spacing w:val="-9"/>
                <w:sz w:val="15"/>
              </w:rPr>
              <w:t> </w:t>
            </w:r>
            <w:r>
              <w:rPr>
                <w:spacing w:val="-2"/>
                <w:sz w:val="15"/>
              </w:rPr>
              <w:t>INSULAR</w:t>
            </w:r>
            <w:r>
              <w:rPr>
                <w:spacing w:val="-8"/>
                <w:sz w:val="15"/>
              </w:rPr>
              <w:t> </w:t>
            </w:r>
            <w:r>
              <w:rPr>
                <w:spacing w:val="-2"/>
                <w:sz w:val="15"/>
              </w:rPr>
              <w:t>DE</w:t>
            </w:r>
            <w:r>
              <w:rPr>
                <w:sz w:val="15"/>
              </w:rPr>
              <w:t> GRAN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CANARIA</w:t>
            </w:r>
          </w:p>
        </w:tc>
        <w:tc>
          <w:tcPr>
            <w:tcW w:w="2487" w:type="dxa"/>
            <w:shd w:val="clear" w:color="auto" w:fill="CCFFCC"/>
          </w:tcPr>
          <w:p>
            <w:pPr>
              <w:pStyle w:val="TableParagraph"/>
              <w:spacing w:line="254" w:lineRule="auto"/>
              <w:ind w:right="213"/>
              <w:rPr>
                <w:sz w:val="15"/>
              </w:rPr>
            </w:pPr>
            <w:r>
              <w:rPr>
                <w:sz w:val="15"/>
              </w:rPr>
              <w:t>INSTITUTO</w:t>
            </w:r>
            <w:r>
              <w:rPr>
                <w:spacing w:val="-11"/>
                <w:sz w:val="15"/>
              </w:rPr>
              <w:t> </w:t>
            </w:r>
            <w:r>
              <w:rPr>
                <w:sz w:val="15"/>
              </w:rPr>
              <w:t>INS.</w:t>
            </w:r>
            <w:r>
              <w:rPr>
                <w:spacing w:val="-10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> </w:t>
            </w:r>
            <w:r>
              <w:rPr>
                <w:sz w:val="15"/>
              </w:rPr>
              <w:t>DEPORTES DE GRAN CANARIA</w:t>
            </w:r>
          </w:p>
        </w:tc>
        <w:tc>
          <w:tcPr>
            <w:tcW w:w="2681" w:type="dxa"/>
            <w:shd w:val="clear" w:color="auto" w:fill="CCFFCC"/>
          </w:tcPr>
          <w:p>
            <w:pPr>
              <w:pStyle w:val="TableParagraph"/>
              <w:spacing w:line="254" w:lineRule="auto"/>
              <w:rPr>
                <w:sz w:val="15"/>
              </w:rPr>
            </w:pPr>
            <w:r>
              <w:rPr>
                <w:sz w:val="15"/>
              </w:rPr>
              <w:t>Convocatoria de subvenciones para sufragar gastos soportados por los clubes deportivos de Gran Canaria de Municipios de escasa población por la </w:t>
            </w:r>
            <w:r>
              <w:rPr>
                <w:spacing w:val="-2"/>
                <w:sz w:val="15"/>
              </w:rPr>
              <w:t>participación en competiciones </w:t>
            </w:r>
            <w:r>
              <w:rPr>
                <w:spacing w:val="-2"/>
                <w:sz w:val="15"/>
              </w:rPr>
              <w:t>oficiales</w:t>
            </w:r>
            <w:r>
              <w:rPr>
                <w:sz w:val="15"/>
              </w:rPr>
              <w:t> de promoción deportiva.</w:t>
            </w:r>
          </w:p>
        </w:tc>
        <w:tc>
          <w:tcPr>
            <w:tcW w:w="845" w:type="dxa"/>
            <w:shd w:val="clear" w:color="auto" w:fill="CCFFCC"/>
          </w:tcPr>
          <w:p>
            <w:pPr>
              <w:pStyle w:val="TableParagraph"/>
              <w:spacing w:line="167" w:lineRule="exact"/>
              <w:ind w:left="0" w:right="33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28/05/2025</w:t>
            </w:r>
          </w:p>
        </w:tc>
        <w:tc>
          <w:tcPr>
            <w:tcW w:w="1020" w:type="dxa"/>
            <w:shd w:val="clear" w:color="auto" w:fill="CCFFCC"/>
          </w:tcPr>
          <w:p>
            <w:pPr>
              <w:pStyle w:val="TableParagraph"/>
              <w:spacing w:line="167" w:lineRule="exact"/>
              <w:rPr>
                <w:sz w:val="15"/>
              </w:rPr>
            </w:pPr>
            <w:r>
              <w:rPr>
                <w:spacing w:val="-2"/>
                <w:sz w:val="15"/>
              </w:rPr>
              <w:t>02/03/2026</w:t>
            </w:r>
          </w:p>
        </w:tc>
        <w:tc>
          <w:tcPr>
            <w:tcW w:w="2254" w:type="dxa"/>
            <w:shd w:val="clear" w:color="auto" w:fill="CCFFCC"/>
          </w:tcPr>
          <w:p>
            <w:pPr>
              <w:pStyle w:val="TableParagraph"/>
              <w:spacing w:line="254" w:lineRule="auto"/>
              <w:ind w:left="28" w:hanging="1"/>
              <w:rPr>
                <w:sz w:val="15"/>
              </w:rPr>
            </w:pPr>
            <w:r>
              <w:rPr>
                <w:spacing w:val="-2"/>
                <w:sz w:val="15"/>
              </w:rPr>
              <w:t>G19735919</w:t>
            </w:r>
            <w:r>
              <w:rPr>
                <w:spacing w:val="-9"/>
                <w:sz w:val="15"/>
              </w:rPr>
              <w:t> </w:t>
            </w:r>
            <w:r>
              <w:rPr>
                <w:spacing w:val="-2"/>
                <w:sz w:val="15"/>
              </w:rPr>
              <w:t>CLUB</w:t>
            </w:r>
            <w:r>
              <w:rPr>
                <w:spacing w:val="-8"/>
                <w:sz w:val="15"/>
              </w:rPr>
              <w:t> </w:t>
            </w:r>
            <w:r>
              <w:rPr>
                <w:spacing w:val="-2"/>
                <w:sz w:val="15"/>
              </w:rPr>
              <w:t>DEPORTIVO</w:t>
            </w:r>
            <w:r>
              <w:rPr>
                <w:sz w:val="15"/>
              </w:rPr>
              <w:t> VOLEIBOL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GUPANE</w:t>
            </w:r>
          </w:p>
        </w:tc>
        <w:tc>
          <w:tcPr>
            <w:tcW w:w="761" w:type="dxa"/>
            <w:shd w:val="clear" w:color="auto" w:fill="CCFFCC"/>
          </w:tcPr>
          <w:p>
            <w:pPr>
              <w:pStyle w:val="TableParagraph"/>
              <w:spacing w:line="167" w:lineRule="exact"/>
              <w:ind w:left="0" w:right="114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1.320,00</w:t>
            </w:r>
          </w:p>
        </w:tc>
        <w:tc>
          <w:tcPr>
            <w:tcW w:w="3478" w:type="dxa"/>
            <w:shd w:val="clear" w:color="auto" w:fill="CCFFCC"/>
          </w:tcPr>
          <w:p>
            <w:pPr>
              <w:pStyle w:val="TableParagraph"/>
              <w:spacing w:line="254" w:lineRule="auto"/>
              <w:ind w:left="28" w:right="19" w:hanging="1"/>
              <w:rPr>
                <w:sz w:val="15"/>
              </w:rPr>
            </w:pPr>
            <w:r>
              <w:rPr>
                <w:sz w:val="15"/>
              </w:rPr>
              <w:t>Promover la práctica del voleibol masculino en el municipio, facilitando la participación del club en competiciones oficiales de promoción deportiva y favoreciendo</w:t>
            </w:r>
            <w:r>
              <w:rPr>
                <w:spacing w:val="-11"/>
                <w:sz w:val="15"/>
              </w:rPr>
              <w:t> </w:t>
            </w:r>
            <w:r>
              <w:rPr>
                <w:sz w:val="15"/>
              </w:rPr>
              <w:t>el</w:t>
            </w:r>
            <w:r>
              <w:rPr>
                <w:spacing w:val="-10"/>
                <w:sz w:val="15"/>
              </w:rPr>
              <w:t> </w:t>
            </w:r>
            <w:r>
              <w:rPr>
                <w:sz w:val="15"/>
              </w:rPr>
              <w:t>acceso</w:t>
            </w:r>
            <w:r>
              <w:rPr>
                <w:spacing w:val="-11"/>
                <w:sz w:val="15"/>
              </w:rPr>
              <w:t> </w:t>
            </w:r>
            <w:r>
              <w:rPr>
                <w:sz w:val="15"/>
              </w:rPr>
              <w:t>al</w:t>
            </w:r>
            <w:r>
              <w:rPr>
                <w:spacing w:val="-10"/>
                <w:sz w:val="15"/>
              </w:rPr>
              <w:t> </w:t>
            </w:r>
            <w:r>
              <w:rPr>
                <w:sz w:val="15"/>
              </w:rPr>
              <w:t>deporte</w:t>
            </w:r>
            <w:r>
              <w:rPr>
                <w:spacing w:val="-11"/>
                <w:sz w:val="15"/>
              </w:rPr>
              <w:t> </w:t>
            </w:r>
            <w:r>
              <w:rPr>
                <w:sz w:val="15"/>
              </w:rPr>
              <w:t>en</w:t>
            </w:r>
            <w:r>
              <w:rPr>
                <w:spacing w:val="-10"/>
                <w:sz w:val="15"/>
              </w:rPr>
              <w:t> </w:t>
            </w:r>
            <w:r>
              <w:rPr>
                <w:sz w:val="15"/>
              </w:rPr>
              <w:t>localidades</w:t>
            </w:r>
            <w:r>
              <w:rPr>
                <w:spacing w:val="-10"/>
                <w:sz w:val="15"/>
              </w:rPr>
              <w:t> </w:t>
            </w:r>
            <w:r>
              <w:rPr>
                <w:sz w:val="15"/>
              </w:rPr>
              <w:t>de escasa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población.</w:t>
            </w:r>
          </w:p>
        </w:tc>
      </w:tr>
      <w:tr>
        <w:trPr>
          <w:trHeight w:val="1424" w:hRule="atLeast"/>
        </w:trPr>
        <w:tc>
          <w:tcPr>
            <w:tcW w:w="1390" w:type="dxa"/>
            <w:shd w:val="clear" w:color="auto" w:fill="CCFFCC"/>
          </w:tcPr>
          <w:p>
            <w:pPr>
              <w:pStyle w:val="TableParagraph"/>
              <w:spacing w:line="167" w:lineRule="exact"/>
              <w:ind w:left="30"/>
              <w:rPr>
                <w:sz w:val="15"/>
              </w:rPr>
            </w:pPr>
            <w:r>
              <w:rPr>
                <w:spacing w:val="-2"/>
                <w:sz w:val="15"/>
              </w:rPr>
              <w:t>LOCAL</w:t>
            </w:r>
          </w:p>
        </w:tc>
        <w:tc>
          <w:tcPr>
            <w:tcW w:w="1707" w:type="dxa"/>
            <w:shd w:val="clear" w:color="auto" w:fill="CCFFCC"/>
          </w:tcPr>
          <w:p>
            <w:pPr>
              <w:pStyle w:val="TableParagraph"/>
              <w:spacing w:line="254" w:lineRule="auto"/>
              <w:ind w:left="30"/>
              <w:rPr>
                <w:sz w:val="15"/>
              </w:rPr>
            </w:pPr>
            <w:r>
              <w:rPr>
                <w:spacing w:val="-2"/>
                <w:sz w:val="15"/>
              </w:rPr>
              <w:t>CABILDO</w:t>
            </w:r>
            <w:r>
              <w:rPr>
                <w:spacing w:val="-9"/>
                <w:sz w:val="15"/>
              </w:rPr>
              <w:t> </w:t>
            </w:r>
            <w:r>
              <w:rPr>
                <w:spacing w:val="-2"/>
                <w:sz w:val="15"/>
              </w:rPr>
              <w:t>INSULAR</w:t>
            </w:r>
            <w:r>
              <w:rPr>
                <w:spacing w:val="-8"/>
                <w:sz w:val="15"/>
              </w:rPr>
              <w:t> </w:t>
            </w:r>
            <w:r>
              <w:rPr>
                <w:spacing w:val="-2"/>
                <w:sz w:val="15"/>
              </w:rPr>
              <w:t>DE</w:t>
            </w:r>
            <w:r>
              <w:rPr>
                <w:sz w:val="15"/>
              </w:rPr>
              <w:t> GRAN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CANARIA</w:t>
            </w:r>
          </w:p>
        </w:tc>
        <w:tc>
          <w:tcPr>
            <w:tcW w:w="2487" w:type="dxa"/>
            <w:shd w:val="clear" w:color="auto" w:fill="CCFFCC"/>
          </w:tcPr>
          <w:p>
            <w:pPr>
              <w:pStyle w:val="TableParagraph"/>
              <w:spacing w:line="254" w:lineRule="auto"/>
              <w:ind w:right="213"/>
              <w:rPr>
                <w:sz w:val="15"/>
              </w:rPr>
            </w:pPr>
            <w:r>
              <w:rPr>
                <w:sz w:val="15"/>
              </w:rPr>
              <w:t>INSTITUTO</w:t>
            </w:r>
            <w:r>
              <w:rPr>
                <w:spacing w:val="-11"/>
                <w:sz w:val="15"/>
              </w:rPr>
              <w:t> </w:t>
            </w:r>
            <w:r>
              <w:rPr>
                <w:sz w:val="15"/>
              </w:rPr>
              <w:t>INS.</w:t>
            </w:r>
            <w:r>
              <w:rPr>
                <w:spacing w:val="-10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> </w:t>
            </w:r>
            <w:r>
              <w:rPr>
                <w:sz w:val="15"/>
              </w:rPr>
              <w:t>DEPORTES DE GRAN CANARIA</w:t>
            </w:r>
          </w:p>
        </w:tc>
        <w:tc>
          <w:tcPr>
            <w:tcW w:w="2681" w:type="dxa"/>
            <w:shd w:val="clear" w:color="auto" w:fill="CCFFCC"/>
          </w:tcPr>
          <w:p>
            <w:pPr>
              <w:pStyle w:val="TableParagraph"/>
              <w:spacing w:line="254" w:lineRule="auto"/>
              <w:ind w:right="143"/>
              <w:rPr>
                <w:sz w:val="15"/>
              </w:rPr>
            </w:pPr>
            <w:r>
              <w:rPr>
                <w:sz w:val="15"/>
              </w:rPr>
              <w:t>Convocatoria subvenciones para sufragar gastos soportados por los clubes</w:t>
            </w:r>
            <w:r>
              <w:rPr>
                <w:spacing w:val="-11"/>
                <w:sz w:val="15"/>
              </w:rPr>
              <w:t> </w:t>
            </w:r>
            <w:r>
              <w:rPr>
                <w:sz w:val="15"/>
              </w:rPr>
              <w:t>deportivos</w:t>
            </w:r>
            <w:r>
              <w:rPr>
                <w:spacing w:val="-10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> </w:t>
            </w:r>
            <w:r>
              <w:rPr>
                <w:sz w:val="15"/>
              </w:rPr>
              <w:t>Gran</w:t>
            </w:r>
            <w:r>
              <w:rPr>
                <w:spacing w:val="-10"/>
                <w:sz w:val="15"/>
              </w:rPr>
              <w:t> </w:t>
            </w:r>
            <w:r>
              <w:rPr>
                <w:sz w:val="15"/>
              </w:rPr>
              <w:t>Canaria</w:t>
            </w:r>
            <w:r>
              <w:rPr>
                <w:spacing w:val="-11"/>
                <w:sz w:val="15"/>
              </w:rPr>
              <w:t> </w:t>
            </w:r>
            <w:r>
              <w:rPr>
                <w:sz w:val="15"/>
              </w:rPr>
              <w:t>en la promoción deportiva de las modalidades de baloncesto, balonmano, hockey, voleibol y </w:t>
            </w:r>
            <w:r>
              <w:rPr>
                <w:spacing w:val="-2"/>
                <w:sz w:val="15"/>
              </w:rPr>
              <w:t>waterpolo</w:t>
            </w:r>
          </w:p>
        </w:tc>
        <w:tc>
          <w:tcPr>
            <w:tcW w:w="845" w:type="dxa"/>
            <w:shd w:val="clear" w:color="auto" w:fill="CCFFCC"/>
          </w:tcPr>
          <w:p>
            <w:pPr>
              <w:pStyle w:val="TableParagraph"/>
              <w:spacing w:line="167" w:lineRule="exact"/>
              <w:ind w:left="0" w:right="33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01/04/2025</w:t>
            </w:r>
          </w:p>
        </w:tc>
        <w:tc>
          <w:tcPr>
            <w:tcW w:w="1020" w:type="dxa"/>
            <w:shd w:val="clear" w:color="auto" w:fill="CCFFCC"/>
          </w:tcPr>
          <w:p>
            <w:pPr>
              <w:pStyle w:val="TableParagraph"/>
              <w:spacing w:line="167" w:lineRule="exact"/>
              <w:rPr>
                <w:sz w:val="15"/>
              </w:rPr>
            </w:pPr>
            <w:r>
              <w:rPr>
                <w:spacing w:val="-2"/>
                <w:sz w:val="15"/>
              </w:rPr>
              <w:t>18/02/2026</w:t>
            </w:r>
          </w:p>
        </w:tc>
        <w:tc>
          <w:tcPr>
            <w:tcW w:w="2254" w:type="dxa"/>
            <w:shd w:val="clear" w:color="auto" w:fill="CCFFCC"/>
          </w:tcPr>
          <w:p>
            <w:pPr>
              <w:pStyle w:val="TableParagraph"/>
              <w:spacing w:line="254" w:lineRule="auto"/>
              <w:ind w:left="28" w:hanging="1"/>
              <w:rPr>
                <w:sz w:val="15"/>
              </w:rPr>
            </w:pPr>
            <w:r>
              <w:rPr>
                <w:spacing w:val="-2"/>
                <w:sz w:val="15"/>
              </w:rPr>
              <w:t>G19735919</w:t>
            </w:r>
            <w:r>
              <w:rPr>
                <w:spacing w:val="-9"/>
                <w:sz w:val="15"/>
              </w:rPr>
              <w:t> </w:t>
            </w:r>
            <w:r>
              <w:rPr>
                <w:spacing w:val="-2"/>
                <w:sz w:val="15"/>
              </w:rPr>
              <w:t>CLUB</w:t>
            </w:r>
            <w:r>
              <w:rPr>
                <w:spacing w:val="-8"/>
                <w:sz w:val="15"/>
              </w:rPr>
              <w:t> </w:t>
            </w:r>
            <w:r>
              <w:rPr>
                <w:spacing w:val="-2"/>
                <w:sz w:val="15"/>
              </w:rPr>
              <w:t>DEPORTIVO</w:t>
            </w:r>
            <w:r>
              <w:rPr>
                <w:sz w:val="15"/>
              </w:rPr>
              <w:t> VOLEIBOL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GUPANE</w:t>
            </w:r>
          </w:p>
        </w:tc>
        <w:tc>
          <w:tcPr>
            <w:tcW w:w="761" w:type="dxa"/>
            <w:shd w:val="clear" w:color="auto" w:fill="CCFFCC"/>
          </w:tcPr>
          <w:p>
            <w:pPr>
              <w:pStyle w:val="TableParagraph"/>
              <w:spacing w:line="167" w:lineRule="exact"/>
              <w:ind w:left="0" w:right="114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6.600,00</w:t>
            </w:r>
          </w:p>
        </w:tc>
        <w:tc>
          <w:tcPr>
            <w:tcW w:w="3478" w:type="dxa"/>
            <w:shd w:val="clear" w:color="auto" w:fill="CCFFCC"/>
          </w:tcPr>
          <w:p>
            <w:pPr>
              <w:pStyle w:val="TableParagraph"/>
              <w:spacing w:line="254" w:lineRule="auto"/>
              <w:ind w:left="28" w:right="19"/>
              <w:rPr>
                <w:sz w:val="15"/>
              </w:rPr>
            </w:pPr>
            <w:r>
              <w:rPr>
                <w:sz w:val="15"/>
              </w:rPr>
              <w:t>Impulsar</w:t>
            </w:r>
            <w:r>
              <w:rPr>
                <w:spacing w:val="-11"/>
                <w:sz w:val="15"/>
              </w:rPr>
              <w:t> </w:t>
            </w:r>
            <w:r>
              <w:rPr>
                <w:sz w:val="15"/>
              </w:rPr>
              <w:t>el</w:t>
            </w:r>
            <w:r>
              <w:rPr>
                <w:spacing w:val="-10"/>
                <w:sz w:val="15"/>
              </w:rPr>
              <w:t> </w:t>
            </w:r>
            <w:r>
              <w:rPr>
                <w:sz w:val="15"/>
              </w:rPr>
              <w:t>desarrollo</w:t>
            </w:r>
            <w:r>
              <w:rPr>
                <w:spacing w:val="-11"/>
                <w:sz w:val="15"/>
              </w:rPr>
              <w:t> </w:t>
            </w:r>
            <w:r>
              <w:rPr>
                <w:sz w:val="15"/>
              </w:rPr>
              <w:t>del</w:t>
            </w:r>
            <w:r>
              <w:rPr>
                <w:spacing w:val="-10"/>
                <w:sz w:val="15"/>
              </w:rPr>
              <w:t> </w:t>
            </w:r>
            <w:r>
              <w:rPr>
                <w:sz w:val="15"/>
              </w:rPr>
              <w:t>voleibol</w:t>
            </w:r>
            <w:r>
              <w:rPr>
                <w:spacing w:val="-11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> </w:t>
            </w:r>
            <w:r>
              <w:rPr>
                <w:sz w:val="15"/>
              </w:rPr>
              <w:t>base</w:t>
            </w:r>
            <w:r>
              <w:rPr>
                <w:spacing w:val="-10"/>
                <w:sz w:val="15"/>
              </w:rPr>
              <w:t> </w:t>
            </w:r>
            <w:r>
              <w:rPr>
                <w:sz w:val="15"/>
              </w:rPr>
              <w:t>mediante el sostenimiento de la actividad deportiva del club, facilitando la participación de sus deportistas en competiciones oficiales y el crecimiento de la cantera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masculina.</w:t>
            </w:r>
          </w:p>
        </w:tc>
      </w:tr>
    </w:tbl>
    <w:sectPr>
      <w:type w:val="continuous"/>
      <w:pgSz w:w="16840" w:h="11910" w:orient="landscape"/>
      <w:pgMar w:top="0" w:bottom="280" w:left="0" w:right="14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ind w:left="29"/>
    </w:pPr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Moreno Bosch</dc:creator>
  <dc:title>2025 GUPANE relacion subvenciones.xlsx</dc:title>
  <dcterms:created xsi:type="dcterms:W3CDTF">2026-10-29T18:06:01Z</dcterms:created>
  <dcterms:modified xsi:type="dcterms:W3CDTF">2026-10-29T18:06:01Z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2026-10-29T00:00:00Z</vt:filetime>
  </property>
  <property fmtid="{D5CDD505-2E9C-101B-9397-08002B2CF9AE}" pid="4" name="LastSaved">
    <vt:filetime>2026-10-29T00:00:00Z</vt:filetime>
  </property>
  <property fmtid="{D5CDD505-2E9C-101B-9397-08002B2CF9AE}" pid="5" name="Producer">
    <vt:lpwstr>Microsoft: Print To PDF</vt:lpwstr>
  </property>
</Properties>
</file>